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7F12AC" w:rsidP="00BF40DF">
      <w:pPr>
        <w:contextualSpacing/>
        <w:jc w:val="center"/>
        <w:outlineLvl w:val="0"/>
        <w:rPr>
          <w:rFonts w:ascii="Calibri" w:hAnsi="Calibri" w:cs="Tahoma"/>
          <w:bCs/>
          <w:color w:val="1E417C"/>
          <w:szCs w:val="24"/>
        </w:rPr>
      </w:pPr>
      <w:r>
        <w:rPr>
          <w:rFonts w:ascii="Calibri" w:hAnsi="Calibri" w:cs="Tahoma"/>
          <w:bCs/>
          <w:noProof/>
          <w:color w:val="1E417C"/>
          <w:szCs w:val="24"/>
        </w:rPr>
        <w:drawing>
          <wp:inline distT="0" distB="0" distL="0" distR="0">
            <wp:extent cx="2721428" cy="1004337"/>
            <wp:effectExtent l="0" t="0" r="0" b="0"/>
            <wp:docPr id="3" name="Picture 3" descr="The University of Tol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University of Toledo"/>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2750601" cy="1015103"/>
                    </a:xfrm>
                    <a:prstGeom prst="rect">
                      <a:avLst/>
                    </a:prstGeom>
                  </pic:spPr>
                </pic:pic>
              </a:graphicData>
            </a:graphic>
          </wp:inline>
        </w:drawing>
      </w:r>
    </w:p>
    <w:p w:rsidR="00C57BED" w:rsidRPr="00BF40DF" w:rsidP="00BF40DF">
      <w:pPr>
        <w:contextualSpacing/>
        <w:jc w:val="center"/>
        <w:outlineLvl w:val="0"/>
        <w:rPr>
          <w:rFonts w:ascii="Calibri" w:hAnsi="Calibri" w:cs="Tahoma"/>
          <w:bCs/>
          <w:color w:val="1E417C"/>
          <w:sz w:val="20"/>
        </w:rPr>
      </w:pPr>
    </w:p>
    <w:p w:rsidR="009452DF" w:rsidRPr="00E714AE" w:rsidP="00BF40DF">
      <w:pPr>
        <w:contextualSpacing/>
        <w:jc w:val="center"/>
        <w:outlineLvl w:val="0"/>
        <w:rPr>
          <w:rFonts w:ascii="Calibri" w:hAnsi="Calibri" w:cs="Tahoma"/>
          <w:b/>
          <w:color w:val="1E417C"/>
          <w:sz w:val="40"/>
          <w:szCs w:val="40"/>
        </w:rPr>
      </w:pPr>
      <w:r w:rsidRPr="00E714AE">
        <w:rPr>
          <w:rFonts w:ascii="Calibri" w:hAnsi="Calibri" w:cs="Tahoma"/>
          <w:b/>
          <w:color w:val="1E417C"/>
          <w:sz w:val="40"/>
          <w:szCs w:val="40"/>
        </w:rPr>
        <w:fldChar w:fldCharType="begin"/>
      </w:r>
      <w:r w:rsidRPr="00E714AE">
        <w:rPr>
          <w:rFonts w:ascii="Calibri" w:hAnsi="Calibri" w:cs="Tahoma"/>
          <w:b/>
          <w:color w:val="1E417C"/>
          <w:sz w:val="40"/>
          <w:szCs w:val="40"/>
        </w:rPr>
        <w:instrText xml:space="preserve"> IF </w:instrText>
      </w:r>
      <w:r w:rsidRPr="00E714AE">
        <w:rPr>
          <w:rFonts w:ascii="Calibri" w:hAnsi="Calibri" w:cs="Tahoma"/>
          <w:b/>
          <w:color w:val="1E417C"/>
          <w:sz w:val="40"/>
          <w:szCs w:val="40"/>
        </w:rPr>
        <w:instrText>"</w:instrText>
      </w:r>
      <w:r w:rsidRPr="00E714AE">
        <w:rPr>
          <w:rFonts w:ascii="Calibri" w:hAnsi="Calibri" w:cs="Tahoma"/>
          <w:b/>
          <w:color w:val="1E417C"/>
          <w:sz w:val="40"/>
          <w:szCs w:val="40"/>
        </w:rPr>
        <w:instrText>"</w:instrText>
      </w:r>
      <w:r w:rsidRPr="00E714AE">
        <w:rPr>
          <w:rFonts w:ascii="Calibri" w:hAnsi="Calibri" w:cs="Tahoma"/>
          <w:b/>
          <w:color w:val="1E417C"/>
          <w:sz w:val="40"/>
          <w:szCs w:val="40"/>
        </w:rPr>
        <w:instrText xml:space="preserve"> &lt;&gt; "" </w:instrText>
      </w:r>
      <w:r w:rsidRPr="00E714AE">
        <w:rPr>
          <w:rFonts w:ascii="Calibri" w:hAnsi="Calibri" w:cs="Tahoma"/>
          <w:b/>
          <w:color w:val="1E417C"/>
          <w:sz w:val="40"/>
          <w:szCs w:val="40"/>
        </w:rPr>
        <w:instrText>"</w:instrText>
      </w:r>
      <w:r w:rsidRPr="00E714AE">
        <w:rPr>
          <w:rFonts w:ascii="Calibri" w:hAnsi="Calibri" w:cs="Tahoma"/>
          <w:b/>
          <w:color w:val="1E417C"/>
          <w:sz w:val="40"/>
          <w:szCs w:val="40"/>
        </w:rPr>
        <w:fldChar w:fldCharType="begin"/>
      </w:r>
      <w:r w:rsidRPr="00E714AE">
        <w:rPr>
          <w:rFonts w:ascii="Calibri" w:hAnsi="Calibri" w:cs="Tahoma"/>
          <w:b/>
          <w:color w:val="1E417C"/>
          <w:sz w:val="40"/>
          <w:szCs w:val="40"/>
        </w:rPr>
        <w:instrText xml:space="preserve"> MERGEFIELD P</w:instrText>
      </w:r>
      <w:r w:rsidRPr="00E714AE">
        <w:rPr>
          <w:rFonts w:ascii="Calibri" w:hAnsi="Calibri" w:cs="Tahoma"/>
          <w:b/>
          <w:color w:val="1E417C"/>
          <w:sz w:val="40"/>
          <w:szCs w:val="40"/>
        </w:rPr>
        <w:instrText>arent</w:instrText>
      </w:r>
      <w:r w:rsidRPr="00E714AE">
        <w:rPr>
          <w:rFonts w:ascii="Calibri" w:hAnsi="Calibri" w:cs="Tahoma"/>
          <w:b/>
          <w:color w:val="1E417C"/>
          <w:sz w:val="40"/>
          <w:szCs w:val="40"/>
        </w:rPr>
        <w:instrText xml:space="preserve">Name </w:instrText>
      </w:r>
      <w:r w:rsidRPr="00E714AE">
        <w:rPr>
          <w:rFonts w:ascii="Calibri" w:hAnsi="Calibri" w:cs="Tahoma"/>
          <w:b/>
          <w:color w:val="1E417C"/>
          <w:sz w:val="40"/>
          <w:szCs w:val="40"/>
        </w:rPr>
        <w:fldChar w:fldCharType="separate"/>
      </w:r>
      <w:r w:rsidR="00D706A5">
        <w:rPr>
          <w:rFonts w:ascii="Calibri" w:hAnsi="Calibri" w:cs="Tahoma"/>
          <w:b/>
          <w:noProof/>
          <w:color w:val="1E417C"/>
          <w:sz w:val="40"/>
          <w:szCs w:val="40"/>
        </w:rPr>
        <w:instrText>«ParentName»</w:instrText>
      </w:r>
      <w:r w:rsidRPr="00E714AE">
        <w:rPr>
          <w:rFonts w:ascii="Calibri" w:hAnsi="Calibri" w:cs="Tahoma"/>
          <w:b/>
          <w:color w:val="1E417C"/>
          <w:sz w:val="40"/>
          <w:szCs w:val="40"/>
        </w:rPr>
        <w:fldChar w:fldCharType="end"/>
      </w:r>
    </w:p>
    <w:p w:rsidR="00D706A5" w:rsidRPr="00E714AE" w:rsidP="00BF40DF">
      <w:pPr>
        <w:contextualSpacing/>
        <w:jc w:val="center"/>
        <w:outlineLvl w:val="0"/>
        <w:rPr>
          <w:rFonts w:ascii="Calibri" w:hAnsi="Calibri" w:cs="Tahoma"/>
          <w:b/>
          <w:noProof/>
          <w:color w:val="1E417C"/>
          <w:sz w:val="40"/>
          <w:szCs w:val="40"/>
        </w:rPr>
      </w:pPr>
      <w:r w:rsidRPr="00483C95">
        <w:rPr>
          <w:rFonts w:ascii="Calibri" w:hAnsi="Calibri" w:cs="Tahoma"/>
          <w:b/>
          <w:color w:val="1E417C"/>
          <w:sz w:val="32"/>
          <w:szCs w:val="32"/>
        </w:rPr>
        <w:fldChar w:fldCharType="begin"/>
      </w:r>
      <w:r w:rsidRPr="00483C95">
        <w:rPr>
          <w:rFonts w:ascii="Calibri" w:hAnsi="Calibri" w:cs="Tahoma"/>
          <w:b/>
          <w:color w:val="1E417C"/>
          <w:sz w:val="32"/>
          <w:szCs w:val="32"/>
        </w:rPr>
        <w:instrText xml:space="preserve"> MERGEFIELD </w:instrText>
      </w:r>
      <w:r w:rsidRPr="00483C95" w:rsidR="00D345AF">
        <w:rPr>
          <w:rFonts w:ascii="Calibri" w:hAnsi="Calibri" w:cs="Tahoma"/>
          <w:b/>
          <w:color w:val="1E417C"/>
          <w:sz w:val="32"/>
          <w:szCs w:val="32"/>
        </w:rPr>
        <w:instrText>Event</w:instrText>
      </w:r>
      <w:r w:rsidRPr="00483C95">
        <w:rPr>
          <w:rFonts w:ascii="Calibri" w:hAnsi="Calibri" w:cs="Tahoma"/>
          <w:b/>
          <w:color w:val="1E417C"/>
          <w:sz w:val="32"/>
          <w:szCs w:val="32"/>
        </w:rPr>
        <w:instrText xml:space="preserve">Name </w:instrText>
      </w:r>
      <w:r w:rsidRPr="00483C95">
        <w:rPr>
          <w:rFonts w:ascii="Calibri" w:hAnsi="Calibri" w:cs="Tahoma"/>
          <w:b/>
          <w:color w:val="1E417C"/>
          <w:sz w:val="32"/>
          <w:szCs w:val="32"/>
        </w:rPr>
        <w:fldChar w:fldCharType="separate"/>
      </w:r>
      <w:r>
        <w:rPr>
          <w:rFonts w:ascii="Calibri" w:hAnsi="Calibri" w:cs="Tahoma"/>
          <w:b/>
          <w:noProof/>
          <w:color w:val="1E417C"/>
          <w:sz w:val="32"/>
          <w:szCs w:val="32"/>
        </w:rPr>
        <w:instrText>«EventName»</w:instrText>
      </w:r>
      <w:r w:rsidRPr="00483C95">
        <w:rPr>
          <w:rFonts w:ascii="Calibri" w:hAnsi="Calibri" w:cs="Tahoma"/>
          <w:b/>
          <w:color w:val="1E417C"/>
          <w:sz w:val="32"/>
          <w:szCs w:val="32"/>
        </w:rPr>
        <w:fldChar w:fldCharType="end"/>
      </w:r>
      <w:r w:rsidRPr="00E714AE" w:rsidR="00BF0B3E">
        <w:rPr>
          <w:rFonts w:ascii="Calibri" w:hAnsi="Calibri" w:cs="Tahoma"/>
          <w:b/>
          <w:color w:val="1E417C"/>
          <w:sz w:val="40"/>
          <w:szCs w:val="40"/>
        </w:rPr>
        <w:instrText>" "</w:instrText>
      </w:r>
      <w:r w:rsidRPr="00E714AE">
        <w:rPr>
          <w:rFonts w:ascii="Calibri" w:hAnsi="Calibri" w:cs="Tahoma"/>
          <w:b/>
          <w:color w:val="1E417C"/>
          <w:sz w:val="40"/>
          <w:szCs w:val="40"/>
        </w:rPr>
        <w:instrText xml:space="preserve">Transplant Healthcare Symposium- Living Donor Day </w:instrText>
      </w:r>
      <w:r w:rsidRPr="00E714AE" w:rsidR="00BF0B3E">
        <w:rPr>
          <w:rFonts w:ascii="Calibri" w:hAnsi="Calibri" w:cs="Tahoma"/>
          <w:b/>
          <w:color w:val="1E417C"/>
          <w:sz w:val="40"/>
          <w:szCs w:val="40"/>
        </w:rPr>
        <w:instrText xml:space="preserve">" </w:instrText>
      </w:r>
      <w:r w:rsidRPr="00E714AE" w:rsidR="00BF0B3E">
        <w:rPr>
          <w:rFonts w:ascii="Calibri" w:hAnsi="Calibri" w:cs="Tahoma"/>
          <w:b/>
          <w:color w:val="1E417C"/>
          <w:sz w:val="40"/>
          <w:szCs w:val="40"/>
        </w:rPr>
        <w:fldChar w:fldCharType="separate"/>
      </w:r>
      <w:r w:rsidRPr="00E714AE">
        <w:rPr>
          <w:rFonts w:ascii="Calibri" w:hAnsi="Calibri" w:cs="Tahoma"/>
          <w:b/>
          <w:color w:val="1E417C"/>
          <w:sz w:val="40"/>
          <w:szCs w:val="40"/>
        </w:rPr>
        <w:t xml:space="preserve">Transplant Healthcare Symposium- Living Donor Day </w:t>
      </w:r>
      <w:r w:rsidRPr="00E714AE" w:rsidR="00BF0B3E">
        <w:rPr>
          <w:rFonts w:ascii="Calibri" w:hAnsi="Calibri" w:cs="Tahoma"/>
          <w:b/>
          <w:color w:val="1E417C"/>
          <w:sz w:val="32"/>
          <w:szCs w:val="32"/>
        </w:rPr>
        <w:fldChar w:fldCharType="end"/>
      </w:r>
    </w:p>
    <w:p w:rsidR="00C57BED" w:rsidRPr="00E714AE" w:rsidP="00BF40DF">
      <w:pPr>
        <w:contextualSpacing/>
        <w:jc w:val="center"/>
        <w:outlineLvl w:val="0"/>
        <w:rPr>
          <w:rFonts w:ascii="Calibri" w:hAnsi="Calibri" w:cs="Tahoma"/>
          <w:color w:val="1E417C"/>
          <w:sz w:val="21"/>
          <w:szCs w:val="21"/>
        </w:rPr>
      </w:pPr>
    </w:p>
    <w:p w:rsidR="00D21610" w:rsidRPr="00E714AE" w:rsidP="00BF40DF">
      <w:pPr>
        <w:contextualSpacing/>
        <w:jc w:val="center"/>
        <w:outlineLvl w:val="0"/>
        <w:rPr>
          <w:rFonts w:ascii="Calibri" w:hAnsi="Calibri" w:cs="Tahoma"/>
          <w:color w:val="1E417C"/>
          <w:sz w:val="28"/>
          <w:szCs w:val="28"/>
        </w:rPr>
      </w:pPr>
      <w:r w:rsidRPr="00E714AE">
        <w:rPr>
          <w:rFonts w:ascii="Calibri" w:hAnsi="Calibri" w:cs="Tahoma"/>
          <w:color w:val="1E417C"/>
          <w:sz w:val="28"/>
          <w:szCs w:val="28"/>
        </w:rPr>
        <w:t>April 10, 2026 7:30 AM</w:t>
      </w:r>
      <w:r w:rsidRPr="00E714AE">
        <w:rPr>
          <w:rFonts w:ascii="Calibri" w:hAnsi="Calibri" w:cs="Tahoma"/>
          <w:color w:val="1E417C"/>
          <w:sz w:val="28"/>
          <w:szCs w:val="28"/>
        </w:rPr>
        <w:fldChar w:fldCharType="begin"/>
      </w:r>
      <w:r w:rsidRPr="00E714AE">
        <w:rPr>
          <w:rFonts w:ascii="Calibri" w:hAnsi="Calibri" w:cs="Tahoma"/>
          <w:color w:val="1E417C"/>
          <w:sz w:val="28"/>
          <w:szCs w:val="28"/>
        </w:rPr>
        <w:instrText xml:space="preserve"> IF </w:instrText>
      </w:r>
      <w:r w:rsidRPr="00E714AE">
        <w:rPr>
          <w:rFonts w:ascii="Calibri" w:hAnsi="Calibri" w:cs="Tahoma"/>
          <w:color w:val="1E417C"/>
          <w:sz w:val="28"/>
          <w:szCs w:val="28"/>
        </w:rPr>
        <w:instrText>"</w:instrText>
      </w:r>
      <w:r w:rsidRPr="00E714AE">
        <w:rPr>
          <w:rFonts w:ascii="Calibri" w:hAnsi="Calibri" w:cs="Tahoma"/>
          <w:color w:val="1E417C"/>
          <w:sz w:val="28"/>
          <w:szCs w:val="28"/>
        </w:rPr>
        <w:instrText>Live Activity</w:instrText>
      </w:r>
      <w:r w:rsidRPr="00E714AE">
        <w:rPr>
          <w:rFonts w:ascii="Calibri" w:hAnsi="Calibri" w:cs="Tahoma"/>
          <w:color w:val="1E417C"/>
          <w:sz w:val="28"/>
          <w:szCs w:val="28"/>
        </w:rPr>
        <w:instrText>"</w:instrText>
      </w:r>
      <w:r w:rsidRPr="00E714AE">
        <w:rPr>
          <w:rFonts w:ascii="Calibri" w:hAnsi="Calibri" w:cs="Tahoma"/>
          <w:color w:val="1E417C"/>
          <w:sz w:val="28"/>
          <w:szCs w:val="28"/>
        </w:rPr>
        <w:instrText xml:space="preserve"> &lt;&gt; "" "</w:instrText>
      </w:r>
    </w:p>
    <w:p w:rsidR="00D706A5" w:rsidRPr="00E714AE" w:rsidP="00BF40DF">
      <w:pPr>
        <w:contextualSpacing/>
        <w:jc w:val="center"/>
        <w:outlineLvl w:val="0"/>
        <w:rPr>
          <w:rFonts w:ascii="Calibri" w:hAnsi="Calibri" w:cs="Tahoma"/>
          <w:noProof/>
          <w:color w:val="1E417C"/>
          <w:sz w:val="28"/>
          <w:szCs w:val="28"/>
        </w:rPr>
      </w:pPr>
      <w:r w:rsidRPr="00E714AE">
        <w:rPr>
          <w:rFonts w:ascii="Calibri" w:hAnsi="Calibri" w:cs="Tahoma"/>
          <w:color w:val="1E417C"/>
          <w:sz w:val="28"/>
          <w:szCs w:val="28"/>
        </w:rPr>
        <w:instrText>Live Activity</w:instrText>
      </w:r>
      <w:r w:rsidRPr="00E714AE">
        <w:rPr>
          <w:rFonts w:ascii="Calibri" w:hAnsi="Calibri" w:cs="Tahoma"/>
          <w:color w:val="1E417C"/>
          <w:sz w:val="28"/>
          <w:szCs w:val="28"/>
        </w:rPr>
        <w:instrText xml:space="preserve">" "" </w:instrText>
      </w:r>
      <w:r w:rsidRPr="00E714AE">
        <w:rPr>
          <w:rFonts w:ascii="Calibri" w:hAnsi="Calibri" w:cs="Tahoma"/>
          <w:color w:val="1E417C"/>
          <w:sz w:val="28"/>
          <w:szCs w:val="28"/>
        </w:rPr>
        <w:fldChar w:fldCharType="separate"/>
      </w:r>
    </w:p>
    <w:p w:rsidR="00D21610" w:rsidRPr="00E714AE" w:rsidP="00BF40DF">
      <w:pPr>
        <w:contextualSpacing/>
        <w:jc w:val="center"/>
        <w:outlineLvl w:val="0"/>
        <w:rPr>
          <w:rFonts w:ascii="Calibri" w:hAnsi="Calibri" w:cs="Tahoma"/>
          <w:color w:val="1E417C"/>
          <w:sz w:val="28"/>
          <w:szCs w:val="28"/>
        </w:rPr>
      </w:pPr>
      <w:r w:rsidRPr="00E714AE">
        <w:rPr>
          <w:rFonts w:ascii="Calibri" w:hAnsi="Calibri" w:cs="Tahoma"/>
          <w:color w:val="1E417C"/>
          <w:sz w:val="28"/>
          <w:szCs w:val="28"/>
        </w:rPr>
        <w:t>Live Activity</w:t>
      </w:r>
      <w:r w:rsidRPr="00E714AE">
        <w:rPr>
          <w:rFonts w:ascii="Calibri" w:hAnsi="Calibri" w:cs="Tahoma"/>
          <w:color w:val="1E417C"/>
          <w:sz w:val="28"/>
          <w:szCs w:val="28"/>
        </w:rPr>
        <w:fldChar w:fldCharType="end"/>
      </w:r>
      <w:r w:rsidR="00E714AE">
        <w:rPr>
          <w:rFonts w:ascii="Calibri" w:hAnsi="Calibri" w:cs="Tahoma"/>
          <w:color w:val="1E417C"/>
          <w:sz w:val="28"/>
          <w:szCs w:val="28"/>
        </w:rPr>
        <w:fldChar w:fldCharType="begin"/>
      </w:r>
      <w:r w:rsidR="00E714AE">
        <w:rPr>
          <w:rFonts w:ascii="Calibri" w:hAnsi="Calibri" w:cs="Tahoma"/>
          <w:color w:val="1E417C"/>
          <w:sz w:val="28"/>
          <w:szCs w:val="28"/>
        </w:rPr>
        <w:instrText xml:space="preserve"> IF </w:instrText>
      </w:r>
      <w:r w:rsidR="00E714AE">
        <w:rPr>
          <w:rFonts w:ascii="Calibri" w:hAnsi="Calibri" w:cs="Tahoma"/>
          <w:color w:val="1E417C"/>
          <w:sz w:val="28"/>
          <w:szCs w:val="28"/>
        </w:rPr>
        <w:instrText>"</w:instrText>
      </w:r>
      <w:r w:rsidR="00E714AE">
        <w:rPr>
          <w:rFonts w:ascii="Calibri" w:hAnsi="Calibri" w:cs="Tahoma"/>
          <w:color w:val="1E417C"/>
          <w:sz w:val="28"/>
          <w:szCs w:val="28"/>
        </w:rPr>
        <w:instrText>Glass City Center-Downtown Toledo</w:instrText>
      </w:r>
      <w:r w:rsidR="00E714AE">
        <w:rPr>
          <w:rFonts w:ascii="Calibri" w:hAnsi="Calibri" w:cs="Tahoma"/>
          <w:color w:val="1E417C"/>
          <w:sz w:val="28"/>
          <w:szCs w:val="28"/>
        </w:rPr>
        <w:instrText>"</w:instrText>
      </w:r>
      <w:r w:rsidR="00E714AE">
        <w:rPr>
          <w:rFonts w:ascii="Calibri" w:hAnsi="Calibri" w:cs="Tahoma"/>
          <w:color w:val="1E417C"/>
          <w:sz w:val="28"/>
          <w:szCs w:val="28"/>
        </w:rPr>
        <w:instrText xml:space="preserve"> &lt;&gt; "" "</w:instrText>
      </w:r>
    </w:p>
    <w:p w:rsidR="00D706A5" w:rsidP="00BF40DF">
      <w:pPr>
        <w:contextualSpacing/>
        <w:jc w:val="center"/>
        <w:outlineLvl w:val="0"/>
        <w:rPr>
          <w:rFonts w:ascii="Calibri" w:hAnsi="Calibri" w:cs="Tahoma"/>
          <w:noProof/>
          <w:color w:val="1E417C"/>
          <w:sz w:val="28"/>
          <w:szCs w:val="28"/>
        </w:rPr>
      </w:pPr>
      <w:r>
        <w:rPr>
          <w:rFonts w:ascii="Calibri" w:hAnsi="Calibri" w:cs="Tahoma"/>
          <w:color w:val="1E417C"/>
          <w:sz w:val="28"/>
          <w:szCs w:val="28"/>
        </w:rPr>
        <w:instrText>Glass City Center-Downtown Toledo</w:instrText>
      </w:r>
      <w:r>
        <w:rPr>
          <w:rFonts w:ascii="Calibri" w:hAnsi="Calibri" w:cs="Tahoma"/>
          <w:color w:val="1E417C"/>
          <w:sz w:val="28"/>
          <w:szCs w:val="28"/>
        </w:rPr>
        <w:instrText xml:space="preserve">" "" </w:instrText>
      </w:r>
      <w:r>
        <w:rPr>
          <w:rFonts w:ascii="Calibri" w:hAnsi="Calibri" w:cs="Tahoma"/>
          <w:color w:val="1E417C"/>
          <w:sz w:val="28"/>
          <w:szCs w:val="28"/>
        </w:rPr>
        <w:fldChar w:fldCharType="separate"/>
      </w:r>
    </w:p>
    <w:p w:rsidR="00E714AE" w:rsidP="00BF40DF">
      <w:pPr>
        <w:contextualSpacing/>
        <w:jc w:val="center"/>
        <w:outlineLvl w:val="0"/>
        <w:rPr>
          <w:rFonts w:ascii="Calibri" w:hAnsi="Calibri" w:cs="Tahoma"/>
          <w:color w:val="1E417C"/>
          <w:sz w:val="28"/>
          <w:szCs w:val="28"/>
        </w:rPr>
      </w:pPr>
      <w:r>
        <w:rPr>
          <w:rFonts w:ascii="Calibri" w:hAnsi="Calibri" w:cs="Tahoma"/>
          <w:color w:val="1E417C"/>
          <w:sz w:val="28"/>
          <w:szCs w:val="28"/>
        </w:rPr>
        <w:t>Glass City Center-Downtown Toledo</w:t>
      </w:r>
      <w:r>
        <w:rPr>
          <w:rFonts w:ascii="Calibri" w:hAnsi="Calibri" w:cs="Tahoma"/>
          <w:color w:val="1E417C"/>
          <w:sz w:val="28"/>
          <w:szCs w:val="28"/>
        </w:rPr>
        <w:fldChar w:fldCharType="end"/>
      </w:r>
    </w:p>
    <w:p w:rsidR="00BF5409" w:rsidP="00814794">
      <w:pPr>
        <w:contextualSpacing/>
        <w:outlineLvl w:val="0"/>
        <w:rPr>
          <w:rFonts w:ascii="Calibri" w:hAnsi="Calibri" w:cs="Tahoma"/>
          <w:color w:val="1E417C"/>
          <w:sz w:val="20"/>
        </w:rPr>
      </w:pPr>
      <w:r>
        <w:rPr>
          <w:rFonts w:ascii="Calibri" w:hAnsi="Calibri" w:cs="Tahoma"/>
          <w:color w:val="1E417C"/>
          <w:sz w:val="20"/>
        </w:rPr>
        <w:fldChar w:fldCharType="begin"/>
      </w:r>
      <w:r>
        <w:rPr>
          <w:rFonts w:ascii="Calibri" w:hAnsi="Calibri" w:cs="Tahoma"/>
          <w:color w:val="1E417C"/>
          <w:sz w:val="20"/>
        </w:rPr>
        <w:instrText xml:space="preserve"> IF </w:instrText>
      </w:r>
      <w:r>
        <w:rPr>
          <w:rFonts w:ascii="Calibri" w:hAnsi="Calibri" w:cs="Tahoma"/>
          <w:color w:val="1E417C"/>
          <w:sz w:val="20"/>
        </w:rPr>
        <w:instrText>"</w:instrText>
      </w:r>
      <w:r>
        <w:rPr>
          <w:rFonts w:ascii="Calibri" w:hAnsi="Calibri" w:cs="Tahoma"/>
          <w:color w:val="1E417C"/>
          <w:sz w:val="20"/>
        </w:rPr>
        <w:instrText>"</w:instrText>
      </w:r>
      <w:r>
        <w:rPr>
          <w:rFonts w:ascii="Calibri" w:hAnsi="Calibri" w:cs="Tahoma"/>
          <w:color w:val="1E417C"/>
          <w:sz w:val="20"/>
        </w:rPr>
        <w:instrText xml:space="preserve"> &lt;&gt; "" "</w:instrText>
      </w:r>
    </w:p>
    <w:p w:rsidR="00BF5409" w:rsidP="00814794">
      <w:pPr>
        <w:contextualSpacing/>
        <w:outlineLvl w:val="0"/>
        <w:rPr>
          <w:rFonts w:ascii="Calibri" w:hAnsi="Calibri" w:cs="Tahoma"/>
          <w:color w:val="1E417C"/>
          <w:sz w:val="20"/>
        </w:rPr>
      </w:pPr>
    </w:p>
    <w:p w:rsidR="00BF5409" w:rsidP="00814794">
      <w:pPr>
        <w:contextualSpacing/>
        <w:outlineLvl w:val="0"/>
        <w:rPr>
          <w:rFonts w:ascii="Calibri" w:hAnsi="Calibri" w:cs="Tahoma"/>
          <w:b/>
          <w:bCs/>
          <w:color w:val="1E417C"/>
          <w:szCs w:val="24"/>
        </w:rPr>
      </w:pPr>
      <w:r>
        <w:rPr>
          <w:rFonts w:ascii="Calibri" w:hAnsi="Calibri" w:cs="Tahoma"/>
          <w:b/>
          <w:bCs/>
          <w:color w:val="1E417C"/>
          <w:szCs w:val="24"/>
        </w:rPr>
        <w:instrText>Specialties</w:instrText>
      </w:r>
    </w:p>
    <w:p w:rsidR="008276B2" w:rsidRPr="008276B2" w:rsidP="00814794">
      <w:pPr>
        <w:contextualSpacing/>
        <w:outlineLvl w:val="0"/>
        <w:rPr>
          <w:rFonts w:ascii="Calibri" w:hAnsi="Calibri" w:cs="Tahoma"/>
          <w:color w:val="1E417C"/>
          <w:sz w:val="6"/>
          <w:szCs w:val="6"/>
        </w:rPr>
      </w:pPr>
    </w:p>
    <w:p w:rsidR="00D706A5" w:rsidP="00814794">
      <w:pPr>
        <w:contextualSpacing/>
        <w:outlineLvl w:val="0"/>
        <w:rPr>
          <w:rFonts w:ascii="Calibri" w:hAnsi="Calibri" w:cs="Tahoma"/>
          <w:noProof/>
          <w:color w:val="1E417C"/>
          <w:sz w:val="20"/>
        </w:rPr>
      </w:pPr>
      <w:r>
        <w:rPr>
          <w:rFonts w:ascii="Calibri" w:hAnsi="Calibri" w:cs="Tahoma"/>
          <w:color w:val="1E417C"/>
          <w:sz w:val="20"/>
        </w:rPr>
        <w:fldChar w:fldCharType="begin"/>
      </w:r>
      <w:r>
        <w:rPr>
          <w:rFonts w:ascii="Calibri" w:hAnsi="Calibri" w:cs="Tahoma"/>
          <w:color w:val="1E417C"/>
          <w:sz w:val="20"/>
        </w:rPr>
        <w:instrText xml:space="preserve"> MERGEFIELD Specialties </w:instrText>
      </w:r>
      <w:r>
        <w:rPr>
          <w:rFonts w:ascii="Calibri" w:hAnsi="Calibri" w:cs="Tahoma"/>
          <w:color w:val="1E417C"/>
          <w:sz w:val="20"/>
        </w:rPr>
        <w:fldChar w:fldCharType="separate"/>
      </w:r>
      <w:r>
        <w:rPr>
          <w:rFonts w:ascii="Calibri" w:hAnsi="Calibri" w:cs="Tahoma"/>
          <w:noProof/>
          <w:color w:val="1E417C"/>
          <w:sz w:val="20"/>
        </w:rPr>
        <w:instrText>«Specialties»</w:instrText>
      </w:r>
      <w:r>
        <w:rPr>
          <w:rFonts w:ascii="Calibri" w:hAnsi="Calibri" w:cs="Tahoma"/>
          <w:color w:val="1E417C"/>
          <w:sz w:val="20"/>
        </w:rPr>
        <w:fldChar w:fldCharType="end"/>
      </w:r>
      <w:r>
        <w:rPr>
          <w:rFonts w:ascii="Calibri" w:hAnsi="Calibri" w:cs="Tahoma"/>
          <w:color w:val="1E417C"/>
          <w:sz w:val="20"/>
        </w:rPr>
        <w:instrText xml:space="preserve">" "" </w:instrText>
      </w:r>
      <w:r>
        <w:rPr>
          <w:rFonts w:ascii="Calibri" w:hAnsi="Calibri" w:cs="Tahoma"/>
          <w:color w:val="1E417C"/>
          <w:sz w:val="20"/>
        </w:rPr>
        <w:fldChar w:fldCharType="separate"/>
      </w:r>
      <w:r w:rsidR="00BF5409">
        <w:rPr>
          <w:rFonts w:ascii="Calibri" w:hAnsi="Calibri" w:cs="Tahoma"/>
          <w:color w:val="1E417C"/>
          <w:sz w:val="20"/>
        </w:rPr>
        <w:fldChar w:fldCharType="end"/>
      </w:r>
      <w:r w:rsidR="00BF5409">
        <w:rPr>
          <w:rFonts w:ascii="Calibri" w:hAnsi="Calibri" w:cs="Tahoma"/>
          <w:color w:val="1E417C"/>
          <w:sz w:val="20"/>
        </w:rPr>
        <w:fldChar w:fldCharType="begin"/>
      </w:r>
      <w:r w:rsidR="00BF5409">
        <w:rPr>
          <w:rFonts w:ascii="Calibri" w:hAnsi="Calibri" w:cs="Tahoma"/>
          <w:color w:val="1E417C"/>
          <w:sz w:val="20"/>
        </w:rPr>
        <w:instrText xml:space="preserve"> IF </w:instrText>
      </w:r>
      <w:r w:rsidR="00BF5409">
        <w:rPr>
          <w:rFonts w:ascii="Calibri" w:hAnsi="Calibri" w:cs="Tahoma"/>
          <w:color w:val="1E417C"/>
          <w:sz w:val="20"/>
        </w:rPr>
        <w:instrText>"</w:instrText>
      </w:r>
      <w:r w:rsidR="00BF5409">
        <w:rPr>
          <w:rFonts w:ascii="Calibri" w:hAnsi="Calibri" w:cs="Tahoma"/>
          <w:color w:val="1E417C"/>
          <w:sz w:val="20"/>
        </w:rPr>
        <w:instrText>"</w:instrText>
      </w:r>
      <w:r w:rsidR="00BF5409">
        <w:rPr>
          <w:rFonts w:ascii="Calibri" w:hAnsi="Calibri" w:cs="Tahoma"/>
          <w:color w:val="1E417C"/>
          <w:sz w:val="20"/>
        </w:rPr>
        <w:instrText xml:space="preserve"> &lt;&gt; "" "</w:instrText>
      </w:r>
    </w:p>
    <w:p w:rsidR="00BF5409" w:rsidP="00814794">
      <w:pPr>
        <w:contextualSpacing/>
        <w:outlineLvl w:val="0"/>
        <w:rPr>
          <w:rFonts w:ascii="Calibri" w:hAnsi="Calibri" w:cs="Tahoma"/>
          <w:color w:val="1E417C"/>
          <w:sz w:val="20"/>
        </w:rPr>
      </w:pPr>
    </w:p>
    <w:p w:rsidR="00BF5409" w:rsidP="00814794">
      <w:pPr>
        <w:contextualSpacing/>
        <w:outlineLvl w:val="0"/>
        <w:rPr>
          <w:rFonts w:ascii="Calibri" w:hAnsi="Calibri" w:cs="Tahoma"/>
          <w:b/>
          <w:bCs/>
          <w:color w:val="1E417C"/>
          <w:szCs w:val="24"/>
        </w:rPr>
      </w:pPr>
      <w:r>
        <w:rPr>
          <w:rFonts w:ascii="Calibri" w:hAnsi="Calibri" w:cs="Tahoma"/>
          <w:b/>
          <w:bCs/>
          <w:color w:val="1E417C"/>
          <w:szCs w:val="24"/>
        </w:rPr>
        <w:instrText>Professions</w:instrText>
      </w:r>
    </w:p>
    <w:p w:rsidR="008276B2" w:rsidRPr="008276B2" w:rsidP="00814794">
      <w:pPr>
        <w:contextualSpacing/>
        <w:outlineLvl w:val="0"/>
        <w:rPr>
          <w:rFonts w:ascii="Calibri" w:hAnsi="Calibri" w:cs="Tahoma"/>
          <w:color w:val="1E417C"/>
          <w:sz w:val="6"/>
          <w:szCs w:val="6"/>
        </w:rPr>
      </w:pPr>
    </w:p>
    <w:p w:rsidR="00D706A5" w:rsidP="00814794">
      <w:pPr>
        <w:contextualSpacing/>
        <w:outlineLvl w:val="0"/>
        <w:rPr>
          <w:rFonts w:ascii="Calibri" w:hAnsi="Calibri" w:cs="Tahoma"/>
          <w:noProof/>
          <w:color w:val="1E417C"/>
          <w:sz w:val="20"/>
        </w:rPr>
      </w:pPr>
      <w:r>
        <w:rPr>
          <w:rFonts w:ascii="Calibri" w:hAnsi="Calibri" w:cs="Tahoma"/>
          <w:color w:val="1E417C"/>
          <w:sz w:val="20"/>
        </w:rPr>
        <w:fldChar w:fldCharType="begin"/>
      </w:r>
      <w:r>
        <w:rPr>
          <w:rFonts w:ascii="Calibri" w:hAnsi="Calibri" w:cs="Tahoma"/>
          <w:color w:val="1E417C"/>
          <w:sz w:val="20"/>
        </w:rPr>
        <w:instrText xml:space="preserve"> MERGEFIELD TargetProfessions </w:instrText>
      </w:r>
      <w:r>
        <w:rPr>
          <w:rFonts w:ascii="Calibri" w:hAnsi="Calibri" w:cs="Tahoma"/>
          <w:color w:val="1E417C"/>
          <w:sz w:val="20"/>
        </w:rPr>
        <w:fldChar w:fldCharType="separate"/>
      </w:r>
      <w:r>
        <w:rPr>
          <w:rFonts w:ascii="Calibri" w:hAnsi="Calibri" w:cs="Tahoma"/>
          <w:noProof/>
          <w:color w:val="1E417C"/>
          <w:sz w:val="20"/>
        </w:rPr>
        <w:instrText>«TargetProfessions»</w:instrText>
      </w:r>
      <w:r>
        <w:rPr>
          <w:rFonts w:ascii="Calibri" w:hAnsi="Calibri" w:cs="Tahoma"/>
          <w:color w:val="1E417C"/>
          <w:sz w:val="20"/>
        </w:rPr>
        <w:fldChar w:fldCharType="end"/>
      </w:r>
      <w:r>
        <w:rPr>
          <w:rFonts w:ascii="Calibri" w:hAnsi="Calibri" w:cs="Tahoma"/>
          <w:color w:val="1E417C"/>
          <w:sz w:val="20"/>
        </w:rPr>
        <w:instrText xml:space="preserve">" "" </w:instrText>
      </w:r>
      <w:r>
        <w:rPr>
          <w:rFonts w:ascii="Calibri" w:hAnsi="Calibri" w:cs="Tahoma"/>
          <w:color w:val="1E417C"/>
          <w:sz w:val="20"/>
        </w:rPr>
        <w:fldChar w:fldCharType="separate"/>
      </w:r>
      <w:r w:rsidR="00BF5409">
        <w:rPr>
          <w:rFonts w:ascii="Calibri" w:hAnsi="Calibri" w:cs="Tahoma"/>
          <w:color w:val="1E417C"/>
          <w:sz w:val="20"/>
        </w:rPr>
        <w:fldChar w:fldCharType="end"/>
      </w:r>
      <w:r w:rsidRPr="00BF40DF" w:rsidR="00814794">
        <w:rPr>
          <w:rFonts w:ascii="Calibri" w:hAnsi="Calibri" w:cs="Tahoma"/>
          <w:color w:val="1E417C"/>
          <w:sz w:val="20"/>
        </w:rPr>
        <w:fldChar w:fldCharType="begin"/>
      </w:r>
      <w:r w:rsidRPr="00BF40DF" w:rsidR="00814794">
        <w:rPr>
          <w:rFonts w:ascii="Calibri" w:hAnsi="Calibri" w:cs="Tahoma"/>
          <w:color w:val="1E417C"/>
          <w:sz w:val="20"/>
        </w:rPr>
        <w:instrText xml:space="preserve"> IF </w:instrText>
      </w:r>
      <w:r w:rsidRPr="00BF40DF" w:rsidR="00C055FA">
        <w:rPr>
          <w:rFonts w:ascii="Calibri" w:hAnsi="Calibri" w:cs="Tahoma"/>
          <w:color w:val="1E417C"/>
          <w:sz w:val="20"/>
        </w:rPr>
        <w:instrText>"</w:instrText>
      </w:r>
    </w:p>
    <w:p>
      <w:pPr>
        <w:bidi w:val="0"/>
        <w:spacing w:after="280" w:afterAutospacing="1"/>
        <w:rPr>
          <w:rtl w:val="0"/>
        </w:rPr>
      </w:pPr>
      <w:r>
        <w:rPr>
          <w:rtl w:val="0"/>
        </w:rPr>
        <w:instrText>Welcome to the Transplant Symposium, offering a dynamic program for healthcare professionals, community members, and students interested in transplantation medicine. This course covers crucial topics such as protecting living donors, advancements in kidney disease prevention and detection, and innovations in transplant procedures. Through expert-led lectures, case studies, and interactive discussions, participants will gain valuable insights into the latest developments and best practices in the field of organ transplantation. Whether you're a healthcare provider, a student, or a community member, this symposium will broaden your understanding and inspire further engagement in transplantation care and research.</w:instrText>
      </w:r>
    </w:p>
    <w:p w:rsidR="00814794" w:rsidRPr="00BF40DF">
      <w:pPr>
        <w:bidi w:val="0"/>
        <w:spacing w:after="280" w:afterAutospacing="1"/>
        <w:rPr>
          <w:rFonts w:ascii="Calibri" w:hAnsi="Calibri" w:cs="Tahoma"/>
          <w:color w:val="1E417C"/>
          <w:sz w:val="20"/>
        </w:rPr>
      </w:pPr>
      <w:r w:rsidRPr="00BF40DF" w:rsidR="00C055FA">
        <w:rPr>
          <w:rFonts w:ascii="Calibri" w:hAnsi="Calibri" w:cs="Tahoma"/>
          <w:color w:val="1E417C"/>
          <w:sz w:val="20"/>
        </w:rPr>
        <w:instrText>"</w:instrText>
      </w:r>
      <w:r w:rsidRPr="00BF40DF">
        <w:rPr>
          <w:rFonts w:ascii="Calibri" w:hAnsi="Calibri" w:cs="Tahoma"/>
          <w:color w:val="1E417C"/>
          <w:sz w:val="20"/>
        </w:rPr>
        <w:instrText xml:space="preserve"> &lt;&gt; "" "</w:instrText>
      </w:r>
    </w:p>
    <w:p w:rsidR="00814794" w:rsidRPr="00BF40DF" w:rsidP="00814794">
      <w:pPr>
        <w:contextualSpacing/>
        <w:outlineLvl w:val="0"/>
        <w:rPr>
          <w:rFonts w:ascii="Calibri" w:hAnsi="Calibri" w:cs="Tahoma"/>
          <w:color w:val="1E417C"/>
          <w:sz w:val="20"/>
        </w:rPr>
      </w:pPr>
    </w:p>
    <w:p w:rsidR="00BF5409" w:rsidP="00814794">
      <w:pPr>
        <w:contextualSpacing/>
        <w:outlineLvl w:val="0"/>
        <w:rPr>
          <w:rFonts w:ascii="Calibri" w:hAnsi="Calibri" w:cs="Tahoma"/>
          <w:b/>
          <w:bCs/>
          <w:color w:val="1E417C"/>
          <w:szCs w:val="24"/>
        </w:rPr>
      </w:pPr>
      <w:r>
        <w:rPr>
          <w:rFonts w:ascii="Calibri" w:hAnsi="Calibri" w:cs="Tahoma"/>
          <w:b/>
          <w:bCs/>
          <w:color w:val="1E417C"/>
          <w:szCs w:val="24"/>
        </w:rPr>
        <w:instrText>Description</w:instrText>
      </w:r>
    </w:p>
    <w:p w:rsidR="008276B2" w:rsidRPr="008276B2" w:rsidP="00814794">
      <w:pPr>
        <w:contextualSpacing/>
        <w:outlineLvl w:val="0"/>
        <w:rPr>
          <w:rFonts w:ascii="Calibri" w:hAnsi="Calibri" w:cs="Tahoma"/>
          <w:color w:val="1E417C"/>
          <w:sz w:val="6"/>
          <w:szCs w:val="6"/>
        </w:rPr>
      </w:pPr>
    </w:p>
    <w:p w:rsidR="00D706A5" w:rsidRPr="00BF40DF">
      <w:pPr>
        <w:bidi w:val="0"/>
        <w:spacing w:after="280" w:afterAutospacing="1"/>
        <w:rPr>
          <w:rFonts w:ascii="Calibri" w:hAnsi="Calibri" w:cs="Tahoma"/>
          <w:noProof/>
          <w:color w:val="1E417C"/>
          <w:sz w:val="20"/>
        </w:rPr>
      </w:pPr>
      <w:r>
        <w:rPr>
          <w:rtl w:val="0"/>
        </w:rPr>
        <w:instrText>Welcome to the Transplant Symposium, offering a dynamic program for healthcare professionals, community members, and students interested in transplantation medicine. This course covers crucial topics such as protecting living donors, advancements in kidney disease prevention and detection, and innovations in transplant procedures. Through expert-led lectures, case studies, and interactive discussions, participants will gain valuable insights into the latest developments and best practices in the field of organ transplantation. Whether you're a healthcare provider, a student, or a community member, this symposium will broaden your understanding and inspire further engagement in transplantation care and research.</w:instrText>
      </w:r>
    </w:p>
    <w:p w:rsidRPr="00BF40DF">
      <w:pPr>
        <w:bidi w:val="0"/>
        <w:spacing w:after="280" w:afterAutospacing="1"/>
        <w:rPr>
          <w:rFonts w:ascii="Calibri" w:hAnsi="Calibri" w:cs="Tahoma"/>
          <w:color w:val="1E417C"/>
          <w:sz w:val="20"/>
        </w:rPr>
      </w:pPr>
      <w:r w:rsidRPr="00BF40DF">
        <w:rPr>
          <w:rFonts w:ascii="Calibri" w:hAnsi="Calibri" w:cs="Tahoma"/>
          <w:color w:val="1E417C"/>
          <w:sz w:val="20"/>
        </w:rPr>
        <w:instrText xml:space="preserve">" "" </w:instrText>
      </w:r>
      <w:r w:rsidRPr="00BF40DF">
        <w:rPr>
          <w:rFonts w:ascii="Calibri" w:hAnsi="Calibri" w:cs="Tahoma"/>
          <w:color w:val="1E417C"/>
          <w:sz w:val="20"/>
        </w:rPr>
        <w:fldChar w:fldCharType="separate"/>
      </w:r>
    </w:p>
    <w:p w:rsidR="00814794" w:rsidRPr="00BF40DF" w:rsidP="00814794">
      <w:pPr>
        <w:contextualSpacing/>
        <w:outlineLvl w:val="0"/>
        <w:rPr>
          <w:rFonts w:ascii="Calibri" w:hAnsi="Calibri" w:cs="Tahoma"/>
          <w:color w:val="1E417C"/>
          <w:sz w:val="20"/>
        </w:rPr>
      </w:pPr>
    </w:p>
    <w:p w:rsidR="00BF5409" w:rsidP="00814794">
      <w:pPr>
        <w:contextualSpacing/>
        <w:outlineLvl w:val="0"/>
        <w:rPr>
          <w:rFonts w:ascii="Calibri" w:hAnsi="Calibri" w:cs="Tahoma"/>
          <w:b/>
          <w:bCs/>
          <w:color w:val="1E417C"/>
          <w:szCs w:val="24"/>
        </w:rPr>
      </w:pPr>
      <w:r>
        <w:rPr>
          <w:rFonts w:ascii="Calibri" w:hAnsi="Calibri" w:cs="Tahoma"/>
          <w:b/>
          <w:bCs/>
          <w:color w:val="1E417C"/>
          <w:szCs w:val="24"/>
        </w:rPr>
        <w:t>Description</w:t>
      </w:r>
    </w:p>
    <w:p w:rsidR="008276B2" w:rsidRPr="008276B2" w:rsidP="00814794">
      <w:pPr>
        <w:contextualSpacing/>
        <w:outlineLvl w:val="0"/>
        <w:rPr>
          <w:rFonts w:ascii="Calibri" w:hAnsi="Calibri" w:cs="Tahoma"/>
          <w:color w:val="1E417C"/>
          <w:sz w:val="6"/>
          <w:szCs w:val="6"/>
        </w:rPr>
      </w:pPr>
    </w:p>
    <w:p w:rsidR="00D706A5" w:rsidRPr="00BF40DF">
      <w:pPr>
        <w:bidi w:val="0"/>
        <w:spacing w:after="280" w:afterAutospacing="1"/>
        <w:rPr>
          <w:rFonts w:ascii="Calibri" w:hAnsi="Calibri" w:cs="Tahoma"/>
          <w:noProof/>
          <w:color w:val="1E417C"/>
          <w:sz w:val="20"/>
        </w:rPr>
      </w:pPr>
      <w:r>
        <w:rPr>
          <w:rtl w:val="0"/>
        </w:rPr>
        <w:t>Welcome to the Transplant Symposium, offering a dynamic program for healthcare professionals, community members, and students interested in transplantation medicine. This course covers crucial topics such as protecting living donors, advancements in kidney disease prevention and detection, and innovations in transplant procedures. Through expert-led lectures, case studies, and interactive discussions, participants will gain valuable insights into the latest developments and best practices in the field of organ transplantation. Whether you're a healthcare provider, a student, or a community member, this symposium will broaden your understanding and inspire further engagement in transplantation care and research.</w:t>
      </w:r>
    </w:p>
    <w:p w:rsidR="00814794" w:rsidRPr="00BF40DF">
      <w:pPr>
        <w:bidi w:val="0"/>
        <w:spacing w:after="280" w:afterAutospacing="1"/>
        <w:rPr>
          <w:rFonts w:ascii="Calibri" w:hAnsi="Calibri" w:cs="Tahoma"/>
          <w:color w:val="1E417C"/>
          <w:sz w:val="20"/>
        </w:rPr>
      </w:pPr>
      <w:r w:rsidRPr="00BF40DF">
        <w:rPr>
          <w:rFonts w:ascii="Calibri" w:hAnsi="Calibri" w:cs="Tahoma"/>
          <w:color w:val="1E417C"/>
          <w:sz w:val="20"/>
        </w:rPr>
        <w:fldChar w:fldCharType="end"/>
      </w:r>
      <w:r w:rsidR="00BF5409">
        <w:rPr>
          <w:rFonts w:ascii="Calibri" w:hAnsi="Calibri" w:cs="Tahoma"/>
          <w:color w:val="1E417C"/>
          <w:sz w:val="20"/>
        </w:rPr>
        <w:fldChar w:fldCharType="begin"/>
      </w:r>
      <w:r w:rsidR="00BF5409">
        <w:rPr>
          <w:rFonts w:ascii="Calibri" w:hAnsi="Calibri" w:cs="Tahoma"/>
          <w:color w:val="1E417C"/>
          <w:sz w:val="20"/>
        </w:rPr>
        <w:instrText xml:space="preserve"> IF </w:instrText>
      </w:r>
      <w:r w:rsidR="00BF5409">
        <w:rPr>
          <w:rFonts w:ascii="Calibri" w:hAnsi="Calibri" w:cs="Tahoma"/>
          <w:color w:val="1E417C"/>
          <w:sz w:val="20"/>
        </w:rPr>
        <w:instrText>"</w:instrText>
      </w:r>
      <w:r w:rsidR="00BF5409">
        <w:rPr>
          <w:rFonts w:ascii="Calibri" w:hAnsi="Calibri" w:cs="Tahoma"/>
          <w:color w:val="1E417C"/>
          <w:sz w:val="20"/>
        </w:rPr>
        <w:instrText>1 Apply evidence-based approaches to multidisciplinary collaboration in transplant medicine.</w:instrText>
      </w:r>
    </w:p>
    <w:p w:rsidR="00BF5409">
      <w:pPr>
        <w:bidi w:val="0"/>
        <w:spacing w:after="280" w:afterAutospacing="1"/>
        <w:rPr>
          <w:rFonts w:ascii="Calibri" w:hAnsi="Calibri" w:cs="Tahoma"/>
          <w:color w:val="1E417C"/>
          <w:sz w:val="20"/>
        </w:rPr>
      </w:pPr>
      <w:r>
        <w:rPr>
          <w:rFonts w:ascii="Calibri" w:hAnsi="Calibri" w:cs="Tahoma"/>
          <w:color w:val="1E417C"/>
          <w:sz w:val="20"/>
        </w:rPr>
        <w:instrText>2 Describe current best practices in evaluating and caring for living organ donors across the transplant continuum.</w:instrText>
      </w:r>
    </w:p>
    <w:p w:rsidR="00BF5409">
      <w:pPr>
        <w:bidi w:val="0"/>
        <w:spacing w:after="280" w:afterAutospacing="1"/>
        <w:rPr>
          <w:rFonts w:ascii="Calibri" w:hAnsi="Calibri" w:cs="Tahoma"/>
          <w:color w:val="1E417C"/>
          <w:sz w:val="20"/>
        </w:rPr>
      </w:pPr>
      <w:r>
        <w:rPr>
          <w:rFonts w:ascii="Calibri" w:hAnsi="Calibri" w:cs="Tahoma"/>
          <w:color w:val="1E417C"/>
          <w:sz w:val="20"/>
        </w:rPr>
        <w:instrText>3 Identify key clinical, ethical, and psychosocial considerations that impact donor and recipient outcomes.</w:instrText>
      </w:r>
      <w:r>
        <w:rPr>
          <w:rFonts w:ascii="Calibri" w:hAnsi="Calibri" w:cs="Tahoma"/>
          <w:color w:val="1E417C"/>
          <w:sz w:val="20"/>
        </w:rPr>
        <w:instrText>"</w:instrText>
      </w:r>
      <w:r>
        <w:rPr>
          <w:rFonts w:ascii="Calibri" w:hAnsi="Calibri" w:cs="Tahoma"/>
          <w:color w:val="1E417C"/>
          <w:sz w:val="20"/>
        </w:rPr>
        <w:instrText xml:space="preserve"> &lt;&gt; "" "</w:instrText>
      </w:r>
    </w:p>
    <w:p w:rsidR="00BF5409" w:rsidP="00C57BED">
      <w:pPr>
        <w:contextualSpacing/>
        <w:outlineLvl w:val="0"/>
        <w:rPr>
          <w:rFonts w:ascii="Calibri" w:hAnsi="Calibri" w:cs="Tahoma"/>
          <w:color w:val="1E417C"/>
          <w:sz w:val="20"/>
        </w:rPr>
      </w:pPr>
    </w:p>
    <w:p w:rsidR="00BF5409" w:rsidP="00C57BED">
      <w:pPr>
        <w:contextualSpacing/>
        <w:outlineLvl w:val="0"/>
        <w:rPr>
          <w:rFonts w:ascii="Calibri" w:hAnsi="Calibri" w:cs="Tahoma"/>
          <w:b/>
          <w:bCs/>
          <w:color w:val="1E417C"/>
          <w:szCs w:val="24"/>
        </w:rPr>
      </w:pPr>
      <w:r>
        <w:rPr>
          <w:rFonts w:ascii="Calibri" w:hAnsi="Calibri" w:cs="Tahoma"/>
          <w:b/>
          <w:bCs/>
          <w:color w:val="1E417C"/>
          <w:szCs w:val="24"/>
        </w:rPr>
        <w:instrText>Learning Objectives</w:instrText>
      </w:r>
    </w:p>
    <w:p w:rsidR="008276B2" w:rsidRPr="008276B2" w:rsidP="00C57BED">
      <w:pPr>
        <w:contextualSpacing/>
        <w:outlineLvl w:val="0"/>
        <w:rPr>
          <w:rFonts w:ascii="Calibri" w:hAnsi="Calibri" w:cs="Tahoma"/>
          <w:color w:val="1E417C"/>
          <w:sz w:val="6"/>
          <w:szCs w:val="6"/>
        </w:rPr>
      </w:pPr>
    </w:p>
    <w:p w:rsidR="00D706A5" w:rsidP="00C57BED">
      <w:pPr>
        <w:contextualSpacing/>
        <w:outlineLvl w:val="0"/>
        <w:rPr>
          <w:rFonts w:ascii="Calibri" w:hAnsi="Calibri" w:cs="Tahoma"/>
          <w:noProof/>
          <w:color w:val="1E417C"/>
          <w:sz w:val="20"/>
        </w:rPr>
      </w:pPr>
      <w:r>
        <w:rPr>
          <w:rFonts w:ascii="Calibri" w:hAnsi="Calibri" w:cs="Tahoma"/>
          <w:color w:val="1E417C"/>
          <w:sz w:val="20"/>
        </w:rPr>
        <w:instrText>1 Apply evidence-based approaches to multidisciplinary collaboration in transplant medicine.</w:instrText>
      </w:r>
    </w:p>
    <w:p w:rsidP="00C57BED">
      <w:pPr>
        <w:contextualSpacing/>
        <w:outlineLvl w:val="0"/>
        <w:rPr>
          <w:rFonts w:ascii="Calibri" w:hAnsi="Calibri" w:cs="Tahoma"/>
          <w:color w:val="1E417C"/>
          <w:sz w:val="20"/>
        </w:rPr>
      </w:pPr>
      <w:r>
        <w:rPr>
          <w:rFonts w:ascii="Calibri" w:hAnsi="Calibri" w:cs="Tahoma"/>
          <w:color w:val="1E417C"/>
          <w:sz w:val="20"/>
        </w:rPr>
        <w:instrText>2 Describe current best practices in evaluating and caring for living organ donors across the transplant continuum.</w:instrText>
      </w:r>
    </w:p>
    <w:p w:rsidP="00C57BED">
      <w:pPr>
        <w:contextualSpacing/>
        <w:outlineLvl w:val="0"/>
        <w:rPr>
          <w:rFonts w:ascii="Calibri" w:hAnsi="Calibri" w:cs="Tahoma"/>
          <w:color w:val="1E417C"/>
          <w:sz w:val="20"/>
        </w:rPr>
      </w:pPr>
      <w:r>
        <w:rPr>
          <w:rFonts w:ascii="Calibri" w:hAnsi="Calibri" w:cs="Tahoma"/>
          <w:color w:val="1E417C"/>
          <w:sz w:val="20"/>
        </w:rPr>
        <w:instrText>3 Identify key clinical, ethical, and psychosocial considerations that impact donor and recipient outcomes.</w:instrText>
      </w:r>
      <w:r>
        <w:rPr>
          <w:rFonts w:ascii="Calibri" w:hAnsi="Calibri" w:cs="Tahoma"/>
          <w:color w:val="1E417C"/>
          <w:sz w:val="20"/>
        </w:rPr>
        <w:instrText xml:space="preserve">" "" </w:instrText>
      </w:r>
      <w:r>
        <w:rPr>
          <w:rFonts w:ascii="Calibri" w:hAnsi="Calibri" w:cs="Tahoma"/>
          <w:color w:val="1E417C"/>
          <w:sz w:val="20"/>
        </w:rPr>
        <w:fldChar w:fldCharType="separate"/>
      </w:r>
    </w:p>
    <w:p w:rsidR="00BF5409" w:rsidP="00C57BED">
      <w:pPr>
        <w:contextualSpacing/>
        <w:outlineLvl w:val="0"/>
        <w:rPr>
          <w:rFonts w:ascii="Calibri" w:hAnsi="Calibri" w:cs="Tahoma"/>
          <w:color w:val="1E417C"/>
          <w:sz w:val="20"/>
        </w:rPr>
      </w:pPr>
    </w:p>
    <w:p w:rsidR="00BF5409" w:rsidP="00C57BED">
      <w:pPr>
        <w:contextualSpacing/>
        <w:outlineLvl w:val="0"/>
        <w:rPr>
          <w:rFonts w:ascii="Calibri" w:hAnsi="Calibri" w:cs="Tahoma"/>
          <w:b/>
          <w:bCs/>
          <w:color w:val="1E417C"/>
          <w:szCs w:val="24"/>
        </w:rPr>
      </w:pPr>
      <w:r>
        <w:rPr>
          <w:rFonts w:ascii="Calibri" w:hAnsi="Calibri" w:cs="Tahoma"/>
          <w:b/>
          <w:bCs/>
          <w:color w:val="1E417C"/>
          <w:szCs w:val="24"/>
        </w:rPr>
        <w:t>Learning Objectives</w:t>
      </w:r>
    </w:p>
    <w:p w:rsidR="008276B2" w:rsidRPr="008276B2" w:rsidP="00C57BED">
      <w:pPr>
        <w:contextualSpacing/>
        <w:outlineLvl w:val="0"/>
        <w:rPr>
          <w:rFonts w:ascii="Calibri" w:hAnsi="Calibri" w:cs="Tahoma"/>
          <w:color w:val="1E417C"/>
          <w:sz w:val="6"/>
          <w:szCs w:val="6"/>
        </w:rPr>
      </w:pPr>
    </w:p>
    <w:p w:rsidR="00D706A5" w:rsidP="00C57BED">
      <w:pPr>
        <w:contextualSpacing/>
        <w:outlineLvl w:val="0"/>
        <w:rPr>
          <w:rFonts w:ascii="Calibri" w:hAnsi="Calibri" w:cs="Tahoma"/>
          <w:noProof/>
          <w:color w:val="1E417C"/>
          <w:sz w:val="20"/>
        </w:rPr>
      </w:pPr>
      <w:r>
        <w:rPr>
          <w:rFonts w:ascii="Calibri" w:hAnsi="Calibri" w:cs="Tahoma"/>
          <w:color w:val="1E417C"/>
          <w:sz w:val="20"/>
        </w:rPr>
        <w:t>1 Apply evidence-based approaches to multidisciplinary collaboration in transplant medicine.</w:t>
      </w:r>
    </w:p>
    <w:p w:rsidP="00C57BED">
      <w:pPr>
        <w:contextualSpacing/>
        <w:outlineLvl w:val="0"/>
        <w:rPr>
          <w:rFonts w:ascii="Calibri" w:hAnsi="Calibri" w:cs="Tahoma"/>
          <w:color w:val="1E417C"/>
          <w:sz w:val="20"/>
        </w:rPr>
      </w:pPr>
      <w:r>
        <w:rPr>
          <w:rFonts w:ascii="Calibri" w:hAnsi="Calibri" w:cs="Tahoma"/>
          <w:color w:val="1E417C"/>
          <w:sz w:val="20"/>
        </w:rPr>
        <w:t>2 Describe current best practices in evaluating and caring for living organ donors across the transplant continuum.</w:t>
      </w:r>
    </w:p>
    <w:p w:rsidR="00BF5409" w:rsidP="00C57BED">
      <w:pPr>
        <w:contextualSpacing/>
        <w:outlineLvl w:val="0"/>
        <w:rPr>
          <w:rFonts w:ascii="Calibri" w:hAnsi="Calibri" w:cs="Tahoma"/>
          <w:color w:val="1E417C"/>
          <w:sz w:val="20"/>
        </w:rPr>
      </w:pPr>
      <w:r>
        <w:rPr>
          <w:rFonts w:ascii="Calibri" w:hAnsi="Calibri" w:cs="Tahoma"/>
          <w:color w:val="1E417C"/>
          <w:sz w:val="20"/>
        </w:rPr>
        <w:t>3 Identify key clinical, ethical, and psychosocial considerations that impact donor and recipient outcomes.</w:t>
      </w:r>
      <w:r>
        <w:rPr>
          <w:rFonts w:ascii="Calibri" w:hAnsi="Calibri" w:cs="Tahoma"/>
          <w:color w:val="1E417C"/>
          <w:sz w:val="20"/>
        </w:rPr>
        <w:fldChar w:fldCharType="end"/>
      </w:r>
    </w:p>
    <w:p w:rsidR="003778CA" w:rsidRPr="00BF40DF" w:rsidP="00C57BED">
      <w:pPr>
        <w:contextualSpacing/>
        <w:outlineLvl w:val="0"/>
        <w:rPr>
          <w:rFonts w:ascii="Calibri" w:hAnsi="Calibri" w:cs="Tahoma"/>
          <w:color w:val="1E417C"/>
          <w:sz w:val="20"/>
        </w:rPr>
      </w:pPr>
    </w:p>
    <w:p w:rsidR="00415EF3" w:rsidP="00C57BED">
      <w:pPr>
        <w:contextualSpacing/>
        <w:outlineLvl w:val="0"/>
        <w:rPr>
          <w:rFonts w:ascii="Calibri" w:hAnsi="Calibri" w:cs="Tahoma"/>
          <w:b/>
          <w:bCs/>
          <w:color w:val="1E417C"/>
          <w:szCs w:val="24"/>
        </w:rPr>
      </w:pPr>
      <w:r>
        <w:rPr>
          <w:rFonts w:ascii="Calibri" w:hAnsi="Calibri" w:cs="Tahoma"/>
          <w:b/>
          <w:bCs/>
          <w:color w:val="1E417C"/>
          <w:szCs w:val="24"/>
        </w:rPr>
        <w:t>Accreditation</w:t>
      </w:r>
    </w:p>
    <w:p w:rsidR="008276B2" w:rsidRPr="008276B2" w:rsidP="00C57BED">
      <w:pPr>
        <w:contextualSpacing/>
        <w:outlineLvl w:val="0"/>
        <w:rPr>
          <w:rFonts w:ascii="Calibri" w:hAnsi="Calibri" w:cs="Tahoma"/>
          <w:color w:val="1E417C"/>
          <w:sz w:val="6"/>
          <w:szCs w:val="6"/>
        </w:rPr>
      </w:pPr>
    </w:p>
    <w:p w:rsidR="008276B2" w:rsidRPr="008276B2" w:rsidP="00C57BED">
      <w:pPr>
        <w:contextualSpacing/>
        <w:outlineLvl w:val="0"/>
        <w:rPr>
          <w:rFonts w:ascii="Calibri" w:hAnsi="Calibri" w:cs="Tahoma"/>
          <w:color w:val="1E417C"/>
          <w:sz w:val="20"/>
        </w:rPr>
      </w:pPr>
      <w:r w:rsidRPr="008276B2">
        <w:rPr>
          <w:rFonts w:ascii="Calibri" w:hAnsi="Calibri" w:cs="Tahoma"/>
          <w:color w:val="1E417C"/>
          <w:sz w:val="20"/>
        </w:rPr>
        <w:t>The University of Toledo is accredited by the Accreditation Council for Continuing Medical Education (ACCME) to provide continuing medical education for physicians.</w:t>
      </w:r>
      <w:r>
        <w:rPr>
          <w:rFonts w:ascii="Calibri" w:hAnsi="Calibri" w:cs="Tahoma"/>
          <w:noProof/>
          <w:color w:val="1E417C"/>
          <w:sz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58952" cy="722376"/>
            <wp:effectExtent l="0" t="0" r="3175" b="190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758952" cy="722376"/>
                    </a:xfrm>
                    <a:prstGeom prst="rect">
                      <a:avLst/>
                    </a:prstGeom>
                  </pic:spPr>
                </pic:pic>
              </a:graphicData>
            </a:graphic>
          </wp:anchor>
        </w:drawing>
      </w:r>
    </w:p>
    <w:p w:rsidR="008276B2" w:rsidP="00C57BED">
      <w:pPr>
        <w:contextualSpacing/>
        <w:outlineLvl w:val="0"/>
        <w:rPr>
          <w:rFonts w:ascii="Calibri" w:hAnsi="Calibri" w:cs="Tahoma"/>
          <w:color w:val="1E417C"/>
          <w:sz w:val="20"/>
        </w:rPr>
      </w:pPr>
    </w:p>
    <w:p w:rsidR="008276B2" w:rsidP="00C57BED">
      <w:pPr>
        <w:contextualSpacing/>
        <w:outlineLvl w:val="0"/>
        <w:rPr>
          <w:rFonts w:ascii="Calibri" w:hAnsi="Calibri" w:cs="Tahoma"/>
          <w:color w:val="1E417C"/>
          <w:sz w:val="20"/>
        </w:rPr>
      </w:pPr>
    </w:p>
    <w:p w:rsidR="008276B2" w:rsidP="00C57BED">
      <w:pPr>
        <w:contextualSpacing/>
        <w:outlineLvl w:val="0"/>
        <w:rPr>
          <w:rFonts w:ascii="Calibri" w:hAnsi="Calibri" w:cs="Tahoma"/>
          <w:color w:val="1E417C"/>
          <w:sz w:val="20"/>
        </w:rPr>
      </w:pPr>
    </w:p>
    <w:p w:rsidR="008276B2" w:rsidP="00C57BED">
      <w:pPr>
        <w:contextualSpacing/>
        <w:outlineLvl w:val="0"/>
        <w:rPr>
          <w:rFonts w:ascii="Calibri" w:hAnsi="Calibri" w:cs="Tahoma"/>
          <w:color w:val="1E417C"/>
          <w:sz w:val="20"/>
        </w:rPr>
      </w:pPr>
    </w:p>
    <w:p w:rsidR="008276B2" w:rsidP="00C57BED">
      <w:pPr>
        <w:contextualSpacing/>
        <w:outlineLvl w:val="0"/>
        <w:rPr>
          <w:rFonts w:ascii="Calibri" w:hAnsi="Calibri" w:cs="Tahoma"/>
          <w:b/>
          <w:bCs/>
          <w:color w:val="1E417C"/>
          <w:sz w:val="20"/>
        </w:rPr>
      </w:pPr>
      <w:r>
        <w:rPr>
          <w:rFonts w:ascii="Calibri" w:hAnsi="Calibri" w:cs="Tahoma"/>
          <w:b/>
          <w:bCs/>
          <w:color w:val="1E417C"/>
          <w:szCs w:val="24"/>
        </w:rPr>
        <w:t>Credit Designation</w:t>
      </w:r>
    </w:p>
    <w:p w:rsidR="008276B2" w:rsidP="00C57BED">
      <w:pPr>
        <w:contextualSpacing/>
        <w:outlineLvl w:val="0"/>
        <w:rPr>
          <w:rFonts w:ascii="Calibri" w:hAnsi="Calibri" w:cs="Tahoma"/>
          <w:b/>
          <w:bCs/>
          <w:color w:val="1E417C"/>
          <w:sz w:val="6"/>
          <w:szCs w:val="6"/>
        </w:rPr>
      </w:pPr>
    </w:p>
    <w:p w:rsidR="008276B2" w:rsidRPr="008276B2" w:rsidP="00C57BED">
      <w:pPr>
        <w:contextualSpacing/>
        <w:outlineLvl w:val="0"/>
        <w:rPr>
          <w:rFonts w:ascii="Calibri" w:hAnsi="Calibri" w:cs="Tahoma"/>
          <w:color w:val="1E417C"/>
          <w:sz w:val="20"/>
        </w:rPr>
      </w:pPr>
      <w:r>
        <w:rPr>
          <w:rFonts w:ascii="Calibri" w:hAnsi="Calibri" w:cs="Tahoma"/>
          <w:color w:val="1E417C"/>
          <w:sz w:val="20"/>
        </w:rPr>
        <w:t>The University of Toledo designates this activity for a maximum of</w:t>
      </w:r>
      <w:r>
        <w:rPr>
          <w:rFonts w:ascii="Calibri" w:hAnsi="Calibri" w:cs="Tahoma"/>
          <w:color w:val="1E417C"/>
          <w:sz w:val="20"/>
        </w:rPr>
        <w:t xml:space="preserve"> </w:t>
      </w:r>
      <w:r>
        <w:rPr>
          <w:rFonts w:ascii="Calibri" w:hAnsi="Calibri" w:cs="Tahoma"/>
          <w:color w:val="1E417C"/>
          <w:sz w:val="20"/>
        </w:rPr>
        <w:t>6.00</w:t>
      </w:r>
      <w:r>
        <w:rPr>
          <w:rFonts w:ascii="Calibri" w:hAnsi="Calibri" w:cs="Tahoma"/>
          <w:color w:val="1E417C"/>
          <w:sz w:val="20"/>
        </w:rPr>
        <w:t xml:space="preserve"> </w:t>
      </w:r>
      <w:r>
        <w:rPr>
          <w:rFonts w:ascii="Calibri" w:hAnsi="Calibri" w:cs="Tahoma"/>
          <w:i/>
          <w:iCs/>
          <w:color w:val="1E417C"/>
          <w:sz w:val="20"/>
        </w:rPr>
        <w:t>AMA PRA Category 1 Credit(s)</w:t>
      </w:r>
      <w:r>
        <w:rPr>
          <w:rFonts w:ascii="Calibri" w:hAnsi="Calibri" w:cs="Tahoma"/>
          <w:color w:val="1E417C"/>
          <w:sz w:val="20"/>
        </w:rPr>
        <w:t>™</w:t>
      </w:r>
      <w:r>
        <w:rPr>
          <w:rFonts w:ascii="Calibri" w:hAnsi="Calibri" w:cs="Tahoma"/>
          <w:color w:val="1E417C"/>
          <w:sz w:val="20"/>
        </w:rPr>
        <w:fldChar w:fldCharType="begin"/>
      </w:r>
      <w:r>
        <w:rPr>
          <w:rFonts w:ascii="Calibri" w:hAnsi="Calibri" w:cs="Tahoma"/>
          <w:color w:val="1E417C"/>
          <w:sz w:val="20"/>
        </w:rPr>
        <w:instrText xml:space="preserve"> IF </w:instrText>
      </w:r>
      <w:r>
        <w:rPr>
          <w:rFonts w:ascii="Calibri" w:hAnsi="Calibri" w:cs="Tahoma"/>
          <w:color w:val="1E417C"/>
          <w:sz w:val="20"/>
        </w:rPr>
        <w:instrText>0.00</w:instrText>
      </w:r>
      <w:r>
        <w:rPr>
          <w:rFonts w:ascii="Calibri" w:hAnsi="Calibri" w:cs="Tahoma"/>
          <w:color w:val="1E417C"/>
          <w:sz w:val="20"/>
        </w:rPr>
        <w:instrText xml:space="preserve"> &gt; 0 " and </w:instrText>
      </w:r>
      <w:r>
        <w:rPr>
          <w:rFonts w:ascii="Calibri" w:hAnsi="Calibri" w:cs="Tahoma"/>
          <w:color w:val="1E417C"/>
          <w:sz w:val="20"/>
        </w:rPr>
        <w:fldChar w:fldCharType="begin"/>
      </w:r>
      <w:r>
        <w:rPr>
          <w:rFonts w:ascii="Calibri" w:hAnsi="Calibri" w:cs="Tahoma"/>
          <w:color w:val="1E417C"/>
          <w:sz w:val="20"/>
        </w:rPr>
        <w:instrText xml:space="preserve"> MERGEFIELD ABIMPSHoursMax \# 0.00# </w:instrText>
      </w:r>
      <w:r>
        <w:rPr>
          <w:rFonts w:ascii="Calibri" w:hAnsi="Calibri" w:cs="Tahoma"/>
          <w:color w:val="1E417C"/>
          <w:sz w:val="20"/>
        </w:rPr>
        <w:fldChar w:fldCharType="separate"/>
      </w:r>
      <w:r>
        <w:rPr>
          <w:rFonts w:ascii="Calibri" w:hAnsi="Calibri" w:cs="Tahoma"/>
          <w:color w:val="1E417C"/>
          <w:sz w:val="20"/>
        </w:rPr>
        <w:fldChar w:fldCharType="end"/>
      </w:r>
      <w:r>
        <w:rPr>
          <w:rFonts w:ascii="Calibri" w:hAnsi="Calibri" w:cs="Tahoma"/>
          <w:color w:val="1E417C"/>
          <w:sz w:val="20"/>
        </w:rPr>
        <w:instrText xml:space="preserve"> ABIM MOC Patient Safety Point(s)" "" </w:instrText>
      </w:r>
      <w:r>
        <w:rPr>
          <w:rFonts w:ascii="Calibri" w:hAnsi="Calibri" w:cs="Tahoma"/>
          <w:color w:val="1E417C"/>
          <w:sz w:val="20"/>
        </w:rPr>
        <w:fldChar w:fldCharType="separate"/>
      </w:r>
      <w:r>
        <w:rPr>
          <w:rFonts w:ascii="Calibri" w:hAnsi="Calibri" w:cs="Tahoma"/>
          <w:color w:val="1E417C"/>
          <w:sz w:val="20"/>
        </w:rPr>
        <w:fldChar w:fldCharType="end"/>
      </w:r>
      <w:r>
        <w:rPr>
          <w:rFonts w:ascii="Calibri" w:hAnsi="Calibri" w:cs="Tahoma"/>
          <w:color w:val="1E417C"/>
          <w:sz w:val="20"/>
        </w:rPr>
        <w:t>.</w:t>
      </w:r>
    </w:p>
    <w:p w:rsidR="00415EF3" w:rsidRPr="00BF40DF" w:rsidP="00C57BED">
      <w:pPr>
        <w:contextualSpacing/>
        <w:rPr>
          <w:rFonts w:ascii="Calibri" w:hAnsi="Calibri" w:cs="Tahoma"/>
          <w:color w:val="1E417C"/>
          <w:sz w:val="20"/>
        </w:rPr>
      </w:pPr>
    </w:p>
    <w:p w:rsidR="00415EF3" w:rsidP="00C57BED">
      <w:pPr>
        <w:contextualSpacing/>
        <w:outlineLvl w:val="0"/>
        <w:rPr>
          <w:rFonts w:ascii="Calibri" w:hAnsi="Calibri" w:cs="Tahoma"/>
          <w:b/>
          <w:bCs/>
          <w:color w:val="1E417C"/>
          <w:szCs w:val="24"/>
        </w:rPr>
      </w:pPr>
      <w:r w:rsidRPr="004135B5">
        <w:rPr>
          <w:rFonts w:ascii="Calibri" w:hAnsi="Calibri" w:cs="Tahoma"/>
          <w:b/>
          <w:bCs/>
          <w:color w:val="1E417C"/>
          <w:szCs w:val="24"/>
        </w:rPr>
        <w:t>Faculty &amp; Planners</w:t>
      </w:r>
    </w:p>
    <w:p w:rsidR="004135B5" w:rsidRPr="004135B5" w:rsidP="00C57BED">
      <w:pPr>
        <w:contextualSpacing/>
        <w:outlineLvl w:val="0"/>
        <w:rPr>
          <w:rFonts w:ascii="Calibri" w:hAnsi="Calibri" w:cs="Tahoma"/>
          <w:color w:val="1E417C"/>
          <w:sz w:val="6"/>
          <w:szCs w:val="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Archer,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Obi Ekwenna,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15EF3" w:rsidRPr="00BF40DF">
      <w:pPr>
        <w:rPr>
          <w:rFonts w:ascii="Calibri" w:hAnsi="Calibri" w:cs="Tahoma"/>
          <w:color w:val="1E417C"/>
          <w:sz w:val="20"/>
        </w:rPr>
      </w:pPr>
    </w:p>
    <w:p w:rsidR="00A97C97" w:rsidRPr="00BF40DF" w:rsidP="00C57BED">
      <w:pPr>
        <w:contextualSpacing/>
        <w:outlineLvl w:val="0"/>
        <w:rPr>
          <w:rFonts w:ascii="Calibri" w:hAnsi="Calibri" w:cs="Tahoma"/>
          <w:color w:val="1E417C"/>
          <w:sz w:val="20"/>
        </w:rPr>
      </w:pPr>
    </w:p>
    <w:p w:rsidR="00415EF3" w:rsidRPr="004135B5" w:rsidP="00C57BED">
      <w:pPr>
        <w:contextualSpacing/>
        <w:outlineLvl w:val="0"/>
        <w:rPr>
          <w:rFonts w:ascii="Calibri" w:hAnsi="Calibri" w:cs="Tahoma"/>
          <w:color w:val="1E417C"/>
          <w:szCs w:val="24"/>
        </w:rPr>
      </w:pPr>
      <w:r w:rsidRPr="004135B5">
        <w:rPr>
          <w:rFonts w:ascii="Calibri" w:hAnsi="Calibri" w:cs="Tahoma"/>
          <w:b/>
          <w:bCs/>
          <w:color w:val="1E417C"/>
          <w:szCs w:val="24"/>
        </w:rPr>
        <w:t>Commercial Support</w:t>
      </w:r>
    </w:p>
    <w:p w:rsidR="00415EF3" w:rsidRPr="004135B5" w:rsidP="00C57BED">
      <w:pPr>
        <w:contextualSpacing/>
        <w:outlineLvl w:val="0"/>
        <w:rPr>
          <w:rFonts w:ascii="Calibri" w:hAnsi="Calibri" w:cs="Tahoma"/>
          <w:color w:val="1E417C"/>
          <w:sz w:val="6"/>
          <w:szCs w:val="6"/>
        </w:rPr>
      </w:pPr>
    </w:p>
    <w:p w:rsidR="003E48A1" w:rsidRPr="00BF40DF" w:rsidP="00C57BED">
      <w:pPr>
        <w:contextualSpacing/>
        <w:rPr>
          <w:rFonts w:ascii="Calibri" w:hAnsi="Calibri" w:cs="Tahoma"/>
          <w:color w:val="1E417C"/>
          <w:sz w:val="20"/>
        </w:rPr>
      </w:pPr>
      <w:r w:rsidRPr="00BF40DF">
        <w:rPr>
          <w:rFonts w:ascii="Calibri" w:hAnsi="Calibri" w:cs="Tahoma"/>
          <w:color w:val="1E417C"/>
          <w:sz w:val="20"/>
        </w:rPr>
        <w:fldChar w:fldCharType="begin"/>
      </w:r>
      <w:r w:rsidRPr="00BF40DF">
        <w:rPr>
          <w:rFonts w:ascii="Calibri" w:hAnsi="Calibri" w:cs="Tahoma"/>
          <w:color w:val="1E417C"/>
          <w:sz w:val="20"/>
        </w:rPr>
        <w:instrText xml:space="preserve"> IF </w:instrText>
      </w:r>
      <w:r w:rsidRPr="00BF40DF">
        <w:rPr>
          <w:rFonts w:ascii="Calibri" w:hAnsi="Calibri" w:cs="Tahoma"/>
          <w:color w:val="1E417C"/>
          <w:sz w:val="20"/>
        </w:rPr>
        <w:instrText>"</w:instrText>
      </w:r>
      <w:r w:rsidRPr="00BF40DF">
        <w:rPr>
          <w:rFonts w:ascii="Calibri" w:hAnsi="Calibri" w:cs="Tahoma"/>
          <w:color w:val="1E417C"/>
          <w:sz w:val="20"/>
        </w:rPr>
        <w:instrText>"</w:instrText>
      </w:r>
      <w:r w:rsidRPr="00BF40DF">
        <w:rPr>
          <w:rFonts w:ascii="Calibri" w:hAnsi="Calibri" w:cs="Tahoma"/>
          <w:color w:val="1E417C"/>
          <w:sz w:val="20"/>
        </w:rPr>
        <w:instrText xml:space="preserve"> &lt;&gt; "" "</w:instrText>
      </w:r>
      <w:r w:rsidRPr="00BF40DF">
        <w:rPr>
          <w:rFonts w:ascii="Calibri" w:hAnsi="Calibri" w:cs="Tahoma"/>
          <w:color w:val="1E417C"/>
          <w:sz w:val="20"/>
        </w:rPr>
        <w:fldChar w:fldCharType="begin"/>
      </w:r>
      <w:r w:rsidRPr="00BF40DF">
        <w:rPr>
          <w:rFonts w:ascii="Calibri" w:hAnsi="Calibri" w:cs="Tahoma"/>
          <w:color w:val="1E417C"/>
          <w:sz w:val="20"/>
        </w:rPr>
        <w:instrText xml:space="preserve"> </w:instrText>
      </w:r>
      <w:r w:rsidRPr="00BF40DF" w:rsidR="00E00797">
        <w:rPr>
          <w:rFonts w:ascii="Calibri" w:hAnsi="Calibri" w:cs="Tahoma"/>
          <w:color w:val="1E417C"/>
          <w:sz w:val="20"/>
        </w:rPr>
        <w:instrText xml:space="preserve">MERGEFIELD </w:instrText>
      </w:r>
      <w:r w:rsidRPr="00BF40DF">
        <w:rPr>
          <w:rFonts w:ascii="Calibri" w:hAnsi="Calibri" w:cs="Tahoma"/>
          <w:color w:val="1E417C"/>
          <w:sz w:val="20"/>
        </w:rPr>
        <w:instrText xml:space="preserve">CommercialSupport </w:instrText>
      </w:r>
      <w:r w:rsidRPr="00BF40DF">
        <w:rPr>
          <w:rFonts w:ascii="Calibri" w:hAnsi="Calibri" w:cs="Tahoma"/>
          <w:color w:val="1E417C"/>
          <w:sz w:val="20"/>
        </w:rPr>
        <w:fldChar w:fldCharType="separate"/>
      </w:r>
      <w:r w:rsidR="00D706A5">
        <w:rPr>
          <w:rFonts w:ascii="Calibri" w:hAnsi="Calibri" w:cs="Tahoma"/>
          <w:noProof/>
          <w:color w:val="1E417C"/>
          <w:sz w:val="20"/>
        </w:rPr>
        <w:instrText>«CommercialSupport»</w:instrText>
      </w:r>
      <w:r w:rsidRPr="00BF40DF">
        <w:rPr>
          <w:rFonts w:ascii="Calibri" w:hAnsi="Calibri" w:cs="Tahoma"/>
          <w:color w:val="1E417C"/>
          <w:sz w:val="20"/>
        </w:rPr>
        <w:fldChar w:fldCharType="end"/>
      </w:r>
      <w:r w:rsidRPr="00BF40DF">
        <w:rPr>
          <w:rFonts w:ascii="Calibri" w:hAnsi="Calibri" w:cs="Tahoma"/>
          <w:color w:val="1E417C"/>
          <w:sz w:val="20"/>
        </w:rPr>
        <w:instrText xml:space="preserve">" "This activity has been developed without commercial support." </w:instrText>
      </w:r>
      <w:r w:rsidRPr="00BF40DF">
        <w:rPr>
          <w:rFonts w:ascii="Calibri" w:hAnsi="Calibri" w:cs="Tahoma"/>
          <w:color w:val="1E417C"/>
          <w:sz w:val="20"/>
        </w:rPr>
        <w:fldChar w:fldCharType="separate"/>
      </w:r>
      <w:r w:rsidRPr="00BF40DF">
        <w:rPr>
          <w:rFonts w:ascii="Calibri" w:hAnsi="Calibri" w:cs="Tahoma"/>
          <w:color w:val="1E417C"/>
          <w:sz w:val="20"/>
        </w:rPr>
        <w:t>This activity has been developed without commercial support.</w:t>
      </w:r>
      <w:r w:rsidRPr="00BF40DF">
        <w:rPr>
          <w:rFonts w:ascii="Calibri" w:hAnsi="Calibri" w:cs="Tahoma"/>
          <w:color w:val="1E417C"/>
          <w:sz w:val="20"/>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2">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3">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5">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3">
    <w:name w:val="heading 3"/>
    <w:basedOn w:val="Normal"/>
    <w:next w:val="Normal"/>
    <w:qFormat/>
    <w:pPr>
      <w:keepNext/>
      <w:outlineLvl w:val="2"/>
    </w:pPr>
    <w:rPr>
      <w:rFonts w:ascii="Times New Roman" w:hAnsi="Times New Roman"/>
      <w:b/>
      <w:i/>
      <w:sz w:val="20"/>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2021-08-26T13:24:00Z</dcterms:created>
  <dcterms:modified xsi:type="dcterms:W3CDTF">2021-08-26T13:24:00Z</dcterms:modified>
</cp:coreProperties>
</file>